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F1" w:rsidRPr="00FC5C3E" w:rsidRDefault="00B1517A" w:rsidP="00B1517A">
      <w:pPr>
        <w:spacing w:after="0"/>
        <w:jc w:val="center"/>
        <w:rPr>
          <w:rFonts w:cstheme="minorHAnsi"/>
          <w:b/>
          <w:sz w:val="24"/>
          <w:szCs w:val="24"/>
        </w:rPr>
      </w:pPr>
      <w:r w:rsidRPr="00FC5C3E">
        <w:rPr>
          <w:rFonts w:cstheme="minorHAnsi"/>
          <w:b/>
          <w:sz w:val="24"/>
          <w:szCs w:val="24"/>
        </w:rPr>
        <w:t xml:space="preserve">2022 </w:t>
      </w:r>
      <w:r w:rsidR="00E067CD">
        <w:rPr>
          <w:rFonts w:cstheme="minorHAnsi"/>
          <w:b/>
          <w:sz w:val="24"/>
          <w:szCs w:val="24"/>
        </w:rPr>
        <w:t>Fullbore</w:t>
      </w:r>
      <w:r w:rsidR="007C070C" w:rsidRPr="00FC5C3E">
        <w:rPr>
          <w:rFonts w:cstheme="minorHAnsi"/>
          <w:b/>
          <w:sz w:val="24"/>
          <w:szCs w:val="24"/>
        </w:rPr>
        <w:t xml:space="preserve"> </w:t>
      </w:r>
      <w:r w:rsidRPr="00FC5C3E">
        <w:rPr>
          <w:rFonts w:cstheme="minorHAnsi"/>
          <w:b/>
          <w:sz w:val="24"/>
          <w:szCs w:val="24"/>
        </w:rPr>
        <w:t>Rule Changes</w:t>
      </w:r>
    </w:p>
    <w:p w:rsidR="00B1517A" w:rsidRPr="00FC5C3E" w:rsidRDefault="00B1517A">
      <w:pPr>
        <w:rPr>
          <w:rFonts w:cstheme="minorHAnsi"/>
          <w:sz w:val="24"/>
          <w:szCs w:val="24"/>
        </w:rPr>
      </w:pPr>
    </w:p>
    <w:p w:rsidR="007A3CA3" w:rsidRDefault="007A3CA3" w:rsidP="00B1517A">
      <w:pPr>
        <w:widowControl w:val="0"/>
        <w:tabs>
          <w:tab w:val="left" w:pos="-1080"/>
          <w:tab w:val="left" w:pos="-720"/>
          <w:tab w:val="left" w:pos="0"/>
          <w:tab w:val="left" w:pos="720"/>
          <w:tab w:val="left" w:pos="1440"/>
          <w:tab w:val="left" w:pos="1800"/>
        </w:tabs>
        <w:autoSpaceDE w:val="0"/>
        <w:autoSpaceDN w:val="0"/>
        <w:adjustRightInd w:val="0"/>
        <w:rPr>
          <w:rFonts w:cstheme="minorHAnsi"/>
          <w:b/>
          <w:sz w:val="24"/>
          <w:szCs w:val="24"/>
        </w:rPr>
      </w:pPr>
      <w:r w:rsidRPr="00FC5C3E">
        <w:rPr>
          <w:rFonts w:cstheme="minorHAnsi"/>
          <w:b/>
          <w:sz w:val="24"/>
          <w:szCs w:val="24"/>
        </w:rPr>
        <w:t xml:space="preserve">AMENDED – </w:t>
      </w:r>
      <w:r w:rsidRPr="00FC5C3E">
        <w:rPr>
          <w:rFonts w:cstheme="minorHAnsi"/>
          <w:sz w:val="24"/>
          <w:szCs w:val="24"/>
        </w:rPr>
        <w:t>Rule</w:t>
      </w:r>
      <w:r>
        <w:rPr>
          <w:rFonts w:cstheme="minorHAnsi"/>
          <w:sz w:val="24"/>
          <w:szCs w:val="24"/>
        </w:rPr>
        <w:t xml:space="preserve"> 1.1.2</w:t>
      </w:r>
      <w:r w:rsidRPr="00FC5C3E">
        <w:rPr>
          <w:rFonts w:cstheme="minorHAnsi"/>
          <w:sz w:val="24"/>
          <w:szCs w:val="24"/>
        </w:rPr>
        <w:t xml:space="preserve"> to read</w:t>
      </w:r>
      <w:r>
        <w:rPr>
          <w:rFonts w:cstheme="minorHAnsi"/>
          <w:sz w:val="24"/>
          <w:szCs w:val="24"/>
        </w:rPr>
        <w:t xml:space="preserve">: </w:t>
      </w:r>
      <w:r w:rsidRPr="007A3CA3">
        <w:rPr>
          <w:rFonts w:cstheme="minorHAnsi"/>
          <w:color w:val="000000"/>
          <w:sz w:val="24"/>
          <w:szCs w:val="24"/>
        </w:rPr>
        <w:t>Electronic target systems may be used to establish national records in NRA Registered, State, Regional, and National Championship tournaments.  NRA Approved tournaments and other events where national records are not at issue may also use electronic scoring systems.  Target systems shall meet all minimum requirements set forth elsewhere in these rules</w:t>
      </w:r>
    </w:p>
    <w:p w:rsidR="00B1517A" w:rsidRPr="00FC5C3E" w:rsidRDefault="00A34673" w:rsidP="00B1517A">
      <w:pPr>
        <w:widowControl w:val="0"/>
        <w:tabs>
          <w:tab w:val="left" w:pos="-1080"/>
          <w:tab w:val="left" w:pos="-720"/>
          <w:tab w:val="left" w:pos="0"/>
          <w:tab w:val="left" w:pos="720"/>
          <w:tab w:val="left" w:pos="1440"/>
          <w:tab w:val="left" w:pos="1800"/>
        </w:tabs>
        <w:autoSpaceDE w:val="0"/>
        <w:autoSpaceDN w:val="0"/>
        <w:adjustRightInd w:val="0"/>
        <w:rPr>
          <w:rFonts w:cstheme="minorHAnsi"/>
          <w:sz w:val="24"/>
          <w:szCs w:val="24"/>
        </w:rPr>
      </w:pPr>
      <w:r w:rsidRPr="00FC5C3E">
        <w:rPr>
          <w:rFonts w:cstheme="minorHAnsi"/>
          <w:b/>
          <w:sz w:val="24"/>
          <w:szCs w:val="24"/>
        </w:rPr>
        <w:t>ADDED</w:t>
      </w:r>
      <w:r w:rsidR="00B1517A" w:rsidRPr="00FC5C3E">
        <w:rPr>
          <w:rFonts w:cstheme="minorHAnsi"/>
          <w:sz w:val="24"/>
          <w:szCs w:val="24"/>
        </w:rPr>
        <w:t xml:space="preserve"> - </w:t>
      </w:r>
      <w:r w:rsidRPr="00FC5C3E">
        <w:rPr>
          <w:rFonts w:cstheme="minorHAnsi"/>
          <w:sz w:val="24"/>
          <w:szCs w:val="24"/>
        </w:rPr>
        <w:t>Rule</w:t>
      </w:r>
      <w:r w:rsidR="00B1517A" w:rsidRPr="00FC5C3E">
        <w:rPr>
          <w:rFonts w:cstheme="minorHAnsi"/>
          <w:sz w:val="24"/>
          <w:szCs w:val="24"/>
        </w:rPr>
        <w:t xml:space="preserve"> </w:t>
      </w:r>
      <w:r w:rsidRPr="00FC5C3E">
        <w:rPr>
          <w:rFonts w:cstheme="minorHAnsi"/>
          <w:sz w:val="24"/>
          <w:szCs w:val="24"/>
        </w:rPr>
        <w:t>4.1.1(a)</w:t>
      </w:r>
      <w:r w:rsidRPr="00FC5C3E">
        <w:rPr>
          <w:rFonts w:cstheme="minorHAnsi"/>
          <w:bCs/>
          <w:sz w:val="24"/>
          <w:szCs w:val="24"/>
        </w:rPr>
        <w:t xml:space="preserve"> No mixing of targets. In registered matches electronic and paper targets may not be jointly used.  It shall be either electronic or paper targets.  All E-Targets must be of the same manufacturer.</w:t>
      </w:r>
      <w:r w:rsidR="00B1517A" w:rsidRPr="00FC5C3E">
        <w:rPr>
          <w:rFonts w:cstheme="minorHAnsi"/>
          <w:sz w:val="24"/>
          <w:szCs w:val="24"/>
        </w:rPr>
        <w:t xml:space="preserve">  </w:t>
      </w:r>
    </w:p>
    <w:p w:rsidR="007A3CA3" w:rsidRDefault="007A3CA3" w:rsidP="00D13710">
      <w:pPr>
        <w:rPr>
          <w:rFonts w:cstheme="minorHAnsi"/>
          <w:b/>
          <w:sz w:val="24"/>
          <w:szCs w:val="24"/>
        </w:rPr>
      </w:pPr>
      <w:r w:rsidRPr="00FC5C3E">
        <w:rPr>
          <w:rFonts w:cstheme="minorHAnsi"/>
          <w:b/>
          <w:sz w:val="24"/>
          <w:szCs w:val="24"/>
        </w:rPr>
        <w:t xml:space="preserve">AMENDED – </w:t>
      </w:r>
      <w:r w:rsidRPr="00FC5C3E">
        <w:rPr>
          <w:rFonts w:cstheme="minorHAnsi"/>
          <w:sz w:val="24"/>
          <w:szCs w:val="24"/>
        </w:rPr>
        <w:t xml:space="preserve">Rule 4.1.2 to read: </w:t>
      </w:r>
      <w:r w:rsidRPr="00FC5C3E">
        <w:rPr>
          <w:rFonts w:cstheme="minorHAnsi"/>
          <w:bCs/>
          <w:sz w:val="24"/>
          <w:szCs w:val="24"/>
        </w:rPr>
        <w:t xml:space="preserve">Electronic target systems may be used to establish national records in NRA Registered, State, Regional, and National Championship tournaments.  NRA Approved tournaments and other events where national records are not at issue may also use electronic scoring systems.  Target systems shall meet all minimum requirements set forth elsewhere in these rules. </w:t>
      </w:r>
      <w:bookmarkStart w:id="0" w:name="_Hlk125711446"/>
      <w:r w:rsidRPr="00FC5C3E">
        <w:rPr>
          <w:rFonts w:cstheme="minorHAnsi"/>
          <w:sz w:val="24"/>
          <w:szCs w:val="24"/>
        </w:rPr>
        <w:t>This rule will be effective February 2023.</w:t>
      </w:r>
      <w:bookmarkEnd w:id="0"/>
    </w:p>
    <w:p w:rsidR="007A3CA3" w:rsidRPr="00FC5C3E" w:rsidRDefault="007A3CA3" w:rsidP="007A3CA3">
      <w:pPr>
        <w:rPr>
          <w:rFonts w:cstheme="minorHAnsi"/>
          <w:sz w:val="24"/>
          <w:szCs w:val="24"/>
        </w:rPr>
      </w:pPr>
      <w:r w:rsidRPr="00FC5C3E">
        <w:rPr>
          <w:rFonts w:cstheme="minorHAnsi"/>
          <w:b/>
          <w:sz w:val="24"/>
          <w:szCs w:val="24"/>
        </w:rPr>
        <w:t>DELETE</w:t>
      </w:r>
      <w:r w:rsidRPr="00FC5C3E">
        <w:rPr>
          <w:rFonts w:cstheme="minorHAnsi"/>
          <w:sz w:val="24"/>
          <w:szCs w:val="24"/>
        </w:rPr>
        <w:t xml:space="preserve"> – RULE</w:t>
      </w:r>
      <w:r>
        <w:rPr>
          <w:rFonts w:cstheme="minorHAnsi"/>
          <w:sz w:val="24"/>
          <w:szCs w:val="24"/>
        </w:rPr>
        <w:t xml:space="preserve"> 4.1.3</w:t>
      </w:r>
    </w:p>
    <w:p w:rsidR="001A2450" w:rsidRPr="00FC5C3E" w:rsidRDefault="00D13710" w:rsidP="00D13710">
      <w:pPr>
        <w:rPr>
          <w:rFonts w:cstheme="minorHAnsi"/>
          <w:sz w:val="24"/>
          <w:szCs w:val="24"/>
        </w:rPr>
      </w:pPr>
      <w:r w:rsidRPr="00FC5C3E">
        <w:rPr>
          <w:rFonts w:cstheme="minorHAnsi"/>
          <w:b/>
          <w:sz w:val="24"/>
          <w:szCs w:val="24"/>
        </w:rPr>
        <w:t>DELETE</w:t>
      </w:r>
      <w:r w:rsidRPr="00FC5C3E">
        <w:rPr>
          <w:rFonts w:cstheme="minorHAnsi"/>
          <w:sz w:val="24"/>
          <w:szCs w:val="24"/>
        </w:rPr>
        <w:t xml:space="preserve"> – RULE 10.17</w:t>
      </w:r>
      <w:r w:rsidR="009348A1" w:rsidRPr="00FC5C3E">
        <w:rPr>
          <w:rFonts w:cstheme="minorHAnsi"/>
          <w:sz w:val="24"/>
          <w:szCs w:val="24"/>
        </w:rPr>
        <w:t>.2</w:t>
      </w:r>
      <w:r w:rsidRPr="00FC5C3E">
        <w:rPr>
          <w:rFonts w:cstheme="minorHAnsi"/>
          <w:sz w:val="24"/>
          <w:szCs w:val="24"/>
        </w:rPr>
        <w:t>(</w:t>
      </w:r>
      <w:r w:rsidR="009348A1" w:rsidRPr="00FC5C3E">
        <w:rPr>
          <w:rFonts w:cstheme="minorHAnsi"/>
          <w:sz w:val="24"/>
          <w:szCs w:val="24"/>
        </w:rPr>
        <w:t>c</w:t>
      </w:r>
      <w:r w:rsidRPr="00FC5C3E">
        <w:rPr>
          <w:rFonts w:cstheme="minorHAnsi"/>
          <w:sz w:val="24"/>
          <w:szCs w:val="24"/>
        </w:rPr>
        <w:t>)</w:t>
      </w:r>
    </w:p>
    <w:p w:rsidR="00422BA8" w:rsidRPr="00FC5C3E" w:rsidRDefault="00422BA8" w:rsidP="00422BA8">
      <w:pPr>
        <w:rPr>
          <w:rFonts w:cstheme="minorHAnsi"/>
          <w:bCs/>
          <w:sz w:val="24"/>
          <w:szCs w:val="24"/>
        </w:rPr>
      </w:pPr>
      <w:r w:rsidRPr="00FC5C3E">
        <w:rPr>
          <w:rFonts w:cstheme="minorHAnsi"/>
          <w:b/>
          <w:sz w:val="24"/>
          <w:szCs w:val="24"/>
        </w:rPr>
        <w:t xml:space="preserve">AMENDED – </w:t>
      </w:r>
      <w:r w:rsidRPr="00FC5C3E">
        <w:rPr>
          <w:rFonts w:cstheme="minorHAnsi"/>
          <w:sz w:val="24"/>
          <w:szCs w:val="24"/>
        </w:rPr>
        <w:t>Rule 10.17.8(</w:t>
      </w:r>
      <w:r w:rsidR="00CF30A5">
        <w:rPr>
          <w:rFonts w:cstheme="minorHAnsi"/>
          <w:sz w:val="24"/>
          <w:szCs w:val="24"/>
        </w:rPr>
        <w:t>a</w:t>
      </w:r>
      <w:r w:rsidRPr="00FC5C3E">
        <w:rPr>
          <w:rFonts w:cstheme="minorHAnsi"/>
          <w:sz w:val="24"/>
          <w:szCs w:val="24"/>
        </w:rPr>
        <w:t xml:space="preserve">) to read: If a competitor complains during the sighting shots about the correct recording or evaluation of the shot(s), the Range Officer may offer to move him to another firing point.  </w:t>
      </w:r>
      <w:r w:rsidRPr="00FC5C3E">
        <w:rPr>
          <w:rFonts w:cstheme="minorHAnsi"/>
          <w:bCs/>
          <w:sz w:val="24"/>
          <w:szCs w:val="24"/>
        </w:rPr>
        <w:t>If it does not register he will be moved to a new target position or have the electronics corrected and continue firing without penalty.</w:t>
      </w:r>
    </w:p>
    <w:p w:rsidR="007A3CA3" w:rsidRPr="00FC5C3E" w:rsidRDefault="007A3CA3" w:rsidP="007A3CA3">
      <w:pPr>
        <w:rPr>
          <w:rFonts w:cstheme="minorHAnsi"/>
          <w:sz w:val="24"/>
          <w:szCs w:val="24"/>
        </w:rPr>
      </w:pPr>
      <w:r w:rsidRPr="00FC5C3E">
        <w:rPr>
          <w:rFonts w:cstheme="minorHAnsi"/>
          <w:b/>
          <w:sz w:val="24"/>
          <w:szCs w:val="24"/>
        </w:rPr>
        <w:t xml:space="preserve">AMENDED – </w:t>
      </w:r>
      <w:r w:rsidRPr="00FC5C3E">
        <w:rPr>
          <w:rFonts w:cstheme="minorHAnsi"/>
          <w:sz w:val="24"/>
          <w:szCs w:val="24"/>
        </w:rPr>
        <w:t xml:space="preserve">Rule 17.1(a) to read: Electronic target systems may be used to establish national records in NRA Registered, State, Regional, and National Championship tournaments.  Target systems shall meet all minimum requirements set forth elsewhere in these rules. This rule will be effective February 2023. </w:t>
      </w:r>
    </w:p>
    <w:p w:rsidR="0054331D" w:rsidRDefault="0054331D" w:rsidP="00422BA8">
      <w:pPr>
        <w:rPr>
          <w:rFonts w:cstheme="minorHAnsi"/>
          <w:sz w:val="24"/>
          <w:szCs w:val="24"/>
        </w:rPr>
      </w:pPr>
      <w:r w:rsidRPr="00FC5C3E">
        <w:rPr>
          <w:rFonts w:cstheme="minorHAnsi"/>
          <w:b/>
          <w:sz w:val="24"/>
          <w:szCs w:val="24"/>
        </w:rPr>
        <w:t xml:space="preserve">AMENDED – </w:t>
      </w:r>
      <w:r w:rsidRPr="00FC5C3E">
        <w:rPr>
          <w:rFonts w:cstheme="minorHAnsi"/>
          <w:sz w:val="24"/>
          <w:szCs w:val="24"/>
        </w:rPr>
        <w:t>Rule 17.</w:t>
      </w:r>
      <w:r w:rsidR="00372507">
        <w:rPr>
          <w:rFonts w:cstheme="minorHAnsi"/>
          <w:sz w:val="24"/>
          <w:szCs w:val="24"/>
        </w:rPr>
        <w:t>5.1</w:t>
      </w:r>
      <w:r w:rsidRPr="00FC5C3E">
        <w:rPr>
          <w:rFonts w:cstheme="minorHAnsi"/>
          <w:sz w:val="24"/>
          <w:szCs w:val="24"/>
        </w:rPr>
        <w:t>: Add Veteran categor</w:t>
      </w:r>
      <w:r w:rsidR="00372507">
        <w:rPr>
          <w:rFonts w:cstheme="minorHAnsi"/>
          <w:sz w:val="24"/>
          <w:szCs w:val="24"/>
        </w:rPr>
        <w:t>y</w:t>
      </w:r>
      <w:r w:rsidRPr="00FC5C3E">
        <w:rPr>
          <w:rFonts w:cstheme="minorHAnsi"/>
          <w:sz w:val="24"/>
          <w:szCs w:val="24"/>
        </w:rPr>
        <w:t>.</w:t>
      </w:r>
    </w:p>
    <w:p w:rsidR="00241198" w:rsidRPr="00241198" w:rsidRDefault="00241198" w:rsidP="00241198">
      <w:pPr>
        <w:rPr>
          <w:rFonts w:cstheme="minorHAnsi"/>
          <w:sz w:val="24"/>
          <w:szCs w:val="24"/>
        </w:rPr>
      </w:pPr>
      <w:r w:rsidRPr="00241198">
        <w:rPr>
          <w:rFonts w:cstheme="minorHAnsi"/>
          <w:b/>
          <w:sz w:val="24"/>
          <w:szCs w:val="24"/>
        </w:rPr>
        <w:t>ADD</w:t>
      </w:r>
      <w:r w:rsidRPr="00241198">
        <w:rPr>
          <w:rFonts w:cstheme="minorHAnsi"/>
          <w:sz w:val="24"/>
          <w:szCs w:val="24"/>
        </w:rPr>
        <w:t xml:space="preserve"> – Section 22 Rule 3.4(c): Elevation Adjustable Stocks Prohibited – Rifle stocks equipped with any form of device or equipment which allows for the rear stock, or any attachments to that stock which interact with the rear bag or the ground, to be raised and/or lowered mechanically between shots through the use of screws, knobs, posts, or like devices are prohibited.”</w:t>
      </w:r>
    </w:p>
    <w:p w:rsidR="00241198" w:rsidRDefault="00241198" w:rsidP="00241198">
      <w:pPr>
        <w:widowControl w:val="0"/>
        <w:tabs>
          <w:tab w:val="left" w:pos="-1080"/>
          <w:tab w:val="left" w:pos="-720"/>
          <w:tab w:val="left" w:pos="0"/>
          <w:tab w:val="left" w:pos="720"/>
          <w:tab w:val="left" w:pos="1440"/>
          <w:tab w:val="left" w:pos="1800"/>
        </w:tabs>
        <w:autoSpaceDE w:val="0"/>
        <w:autoSpaceDN w:val="0"/>
        <w:adjustRightInd w:val="0"/>
        <w:rPr>
          <w:rFonts w:cstheme="minorHAnsi"/>
          <w:sz w:val="24"/>
          <w:szCs w:val="24"/>
        </w:rPr>
      </w:pPr>
      <w:r w:rsidRPr="00FC5C3E">
        <w:rPr>
          <w:rFonts w:cstheme="minorHAnsi"/>
          <w:b/>
          <w:sz w:val="24"/>
          <w:szCs w:val="24"/>
        </w:rPr>
        <w:t>AMENDED</w:t>
      </w:r>
      <w:r w:rsidRPr="00FC5C3E">
        <w:rPr>
          <w:rFonts w:cstheme="minorHAnsi"/>
          <w:sz w:val="24"/>
          <w:szCs w:val="24"/>
        </w:rPr>
        <w:t xml:space="preserve"> – Section 22 Rule 3.4.1(b)(2) to read: The use of “tables” i.e. a single flat surface extending under both front rest and rear bag is prohibited. Carpet or similarly flexible matting may be placed under the front rest and rear bag. Separate flat boards and or plates not exceeding the dimensions of the individual rests by two inches on a given side may also be placed under the front rest or rear bag. In the case of a bipod, the board or plate may be as </w:t>
      </w:r>
      <w:r w:rsidRPr="00FC5C3E">
        <w:rPr>
          <w:rFonts w:cstheme="minorHAnsi"/>
          <w:sz w:val="24"/>
          <w:szCs w:val="24"/>
        </w:rPr>
        <w:lastRenderedPageBreak/>
        <w:t>wide as necessary to accommodate the bipod at its widest point, but not be more than 12” front to rear. </w:t>
      </w:r>
      <w:r w:rsidRPr="00FC5C3E">
        <w:rPr>
          <w:rFonts w:cstheme="minorHAnsi"/>
          <w:sz w:val="24"/>
          <w:szCs w:val="24"/>
          <w:u w:val="single"/>
        </w:rPr>
        <w:t>It is not permitted to provide tracks for the guidance of bipod feet, nor may the combination of bipod feet and/or pad materials create a track. The pad surface should be smooth enough to allow the bipod to be moved in any direction without having to lift the rifle or move the pad that the bipod is on. </w:t>
      </w:r>
      <w:r w:rsidRPr="00FC5C3E">
        <w:rPr>
          <w:rFonts w:cstheme="minorHAnsi"/>
          <w:sz w:val="24"/>
          <w:szCs w:val="24"/>
        </w:rPr>
        <w:t xml:space="preserve">No leveling screws or protrusions are allowed on these board plates. They must be flat on the top and bottom. </w:t>
      </w:r>
    </w:p>
    <w:p w:rsidR="00241198" w:rsidRDefault="00241198" w:rsidP="00241198">
      <w:pPr>
        <w:widowControl w:val="0"/>
        <w:tabs>
          <w:tab w:val="left" w:pos="-1080"/>
          <w:tab w:val="left" w:pos="-720"/>
          <w:tab w:val="left" w:pos="0"/>
          <w:tab w:val="left" w:pos="720"/>
          <w:tab w:val="left" w:pos="1440"/>
          <w:tab w:val="left" w:pos="1800"/>
        </w:tabs>
        <w:autoSpaceDE w:val="0"/>
        <w:autoSpaceDN w:val="0"/>
        <w:adjustRightInd w:val="0"/>
        <w:rPr>
          <w:sz w:val="24"/>
          <w:szCs w:val="24"/>
        </w:rPr>
      </w:pPr>
      <w:r>
        <w:rPr>
          <w:rFonts w:cstheme="minorHAnsi"/>
          <w:b/>
          <w:sz w:val="24"/>
          <w:szCs w:val="24"/>
        </w:rPr>
        <w:t xml:space="preserve">ADD – </w:t>
      </w:r>
      <w:r w:rsidRPr="00241198">
        <w:rPr>
          <w:rFonts w:cstheme="minorHAnsi"/>
          <w:sz w:val="24"/>
          <w:szCs w:val="24"/>
        </w:rPr>
        <w:t>Section 22 Rule</w:t>
      </w:r>
      <w:r w:rsidRPr="00241198">
        <w:rPr>
          <w:rFonts w:cstheme="minorHAnsi"/>
          <w:b/>
          <w:sz w:val="24"/>
          <w:szCs w:val="24"/>
        </w:rPr>
        <w:t xml:space="preserve"> </w:t>
      </w:r>
      <w:r w:rsidRPr="00241198">
        <w:rPr>
          <w:sz w:val="24"/>
          <w:szCs w:val="24"/>
        </w:rPr>
        <w:t xml:space="preserve">3.4.1(a)(9) to Read:  F-Open Front Rest Bags - </w:t>
      </w:r>
      <w:r w:rsidR="003A4C88" w:rsidRPr="00FC5C3E">
        <w:rPr>
          <w:rFonts w:cstheme="minorHAnsi"/>
          <w:bCs/>
          <w:sz w:val="24"/>
          <w:szCs w:val="24"/>
        </w:rPr>
        <w:t>The fore-end of the rifle must rest upon and/or be guided by the front bag(s) described elsewhere in this section. The rifle may not be supported or guided during recoil by rollers, wheels, or any other mechanical device</w:t>
      </w:r>
      <w:r w:rsidR="003A4C88">
        <w:rPr>
          <w:rFonts w:cstheme="minorHAnsi"/>
          <w:bCs/>
          <w:sz w:val="24"/>
          <w:szCs w:val="24"/>
        </w:rPr>
        <w:t xml:space="preserve"> that comes in direct contact with the firearm</w:t>
      </w:r>
      <w:r w:rsidR="003A4C88" w:rsidRPr="00FC5C3E">
        <w:rPr>
          <w:rFonts w:cstheme="minorHAnsi"/>
          <w:bCs/>
          <w:sz w:val="24"/>
          <w:szCs w:val="24"/>
        </w:rPr>
        <w:t>.</w:t>
      </w:r>
    </w:p>
    <w:p w:rsidR="00241198" w:rsidRPr="00BA2AE1" w:rsidRDefault="00BA2AE1" w:rsidP="00241198">
      <w:pPr>
        <w:widowControl w:val="0"/>
        <w:tabs>
          <w:tab w:val="left" w:pos="-1080"/>
          <w:tab w:val="left" w:pos="-720"/>
          <w:tab w:val="left" w:pos="0"/>
          <w:tab w:val="left" w:pos="720"/>
          <w:tab w:val="left" w:pos="1440"/>
          <w:tab w:val="left" w:pos="1800"/>
        </w:tabs>
        <w:autoSpaceDE w:val="0"/>
        <w:autoSpaceDN w:val="0"/>
        <w:adjustRightInd w:val="0"/>
        <w:rPr>
          <w:rFonts w:cstheme="minorHAnsi"/>
          <w:sz w:val="24"/>
          <w:szCs w:val="24"/>
        </w:rPr>
      </w:pPr>
      <w:r>
        <w:rPr>
          <w:rFonts w:cstheme="minorHAnsi"/>
          <w:b/>
          <w:sz w:val="24"/>
          <w:szCs w:val="24"/>
        </w:rPr>
        <w:t xml:space="preserve">ADD – </w:t>
      </w:r>
      <w:r>
        <w:rPr>
          <w:rFonts w:cstheme="minorHAnsi"/>
          <w:sz w:val="24"/>
          <w:szCs w:val="24"/>
        </w:rPr>
        <w:t xml:space="preserve">Section 22 Rule 3.23(a): </w:t>
      </w:r>
      <w:r w:rsidRPr="00BA2AE1">
        <w:rPr>
          <w:sz w:val="24"/>
          <w:szCs w:val="24"/>
        </w:rPr>
        <w:t>Electronic levels are not permitted.</w:t>
      </w:r>
    </w:p>
    <w:p w:rsidR="00372507" w:rsidRDefault="00372507" w:rsidP="00372507">
      <w:pPr>
        <w:rPr>
          <w:rFonts w:cstheme="minorHAnsi"/>
          <w:sz w:val="24"/>
          <w:szCs w:val="24"/>
        </w:rPr>
      </w:pPr>
      <w:r w:rsidRPr="00FC5C3E">
        <w:rPr>
          <w:rFonts w:cstheme="minorHAnsi"/>
          <w:b/>
          <w:sz w:val="24"/>
          <w:szCs w:val="24"/>
        </w:rPr>
        <w:t xml:space="preserve">AMENDED – </w:t>
      </w:r>
      <w:r w:rsidRPr="00372507">
        <w:rPr>
          <w:rFonts w:cstheme="minorHAnsi"/>
          <w:sz w:val="24"/>
          <w:szCs w:val="24"/>
        </w:rPr>
        <w:t>Section 22</w:t>
      </w:r>
      <w:r>
        <w:rPr>
          <w:rFonts w:cstheme="minorHAnsi"/>
          <w:b/>
          <w:sz w:val="24"/>
          <w:szCs w:val="24"/>
        </w:rPr>
        <w:t xml:space="preserve"> </w:t>
      </w:r>
      <w:r w:rsidRPr="00FC5C3E">
        <w:rPr>
          <w:rFonts w:cstheme="minorHAnsi"/>
          <w:sz w:val="24"/>
          <w:szCs w:val="24"/>
        </w:rPr>
        <w:t>Rule 17.</w:t>
      </w:r>
      <w:r>
        <w:rPr>
          <w:rFonts w:cstheme="minorHAnsi"/>
          <w:sz w:val="24"/>
          <w:szCs w:val="24"/>
        </w:rPr>
        <w:t>5.1</w:t>
      </w:r>
      <w:r w:rsidRPr="00FC5C3E">
        <w:rPr>
          <w:rFonts w:cstheme="minorHAnsi"/>
          <w:sz w:val="24"/>
          <w:szCs w:val="24"/>
        </w:rPr>
        <w:t>: Add Veteran categor</w:t>
      </w:r>
      <w:r>
        <w:rPr>
          <w:rFonts w:cstheme="minorHAnsi"/>
          <w:sz w:val="24"/>
          <w:szCs w:val="24"/>
        </w:rPr>
        <w:t>y</w:t>
      </w:r>
      <w:r w:rsidRPr="00FC5C3E">
        <w:rPr>
          <w:rFonts w:cstheme="minorHAnsi"/>
          <w:sz w:val="24"/>
          <w:szCs w:val="24"/>
        </w:rPr>
        <w:t>.</w:t>
      </w:r>
      <w:r w:rsidR="007A3CA3">
        <w:rPr>
          <w:rFonts w:cstheme="minorHAnsi"/>
          <w:sz w:val="24"/>
          <w:szCs w:val="24"/>
        </w:rPr>
        <w:t xml:space="preserve"> And allow electronic targets for N</w:t>
      </w:r>
      <w:r w:rsidR="007A3CA3" w:rsidRPr="00241198">
        <w:rPr>
          <w:rFonts w:cstheme="minorHAnsi"/>
          <w:sz w:val="24"/>
          <w:szCs w:val="24"/>
        </w:rPr>
        <w:t>ational Records.</w:t>
      </w:r>
    </w:p>
    <w:p w:rsidR="003A4C88" w:rsidRDefault="003A4C88" w:rsidP="00372507">
      <w:pPr>
        <w:rPr>
          <w:rFonts w:cstheme="minorHAnsi"/>
          <w:sz w:val="24"/>
          <w:szCs w:val="24"/>
        </w:rPr>
      </w:pPr>
      <w:r>
        <w:rPr>
          <w:rFonts w:cstheme="minorHAnsi"/>
          <w:b/>
          <w:sz w:val="24"/>
          <w:szCs w:val="24"/>
        </w:rPr>
        <w:t xml:space="preserve">ADD – </w:t>
      </w:r>
      <w:r>
        <w:rPr>
          <w:rFonts w:cstheme="minorHAnsi"/>
          <w:sz w:val="24"/>
          <w:szCs w:val="24"/>
        </w:rPr>
        <w:t>General Regulations C</w:t>
      </w:r>
    </w:p>
    <w:p w:rsidR="003A4C88" w:rsidRPr="00241198" w:rsidRDefault="003A4C88" w:rsidP="00372507">
      <w:pPr>
        <w:rPr>
          <w:rFonts w:cstheme="minorHAnsi"/>
          <w:sz w:val="24"/>
          <w:szCs w:val="24"/>
        </w:rPr>
      </w:pPr>
      <w:r>
        <w:rPr>
          <w:rFonts w:cstheme="minorHAnsi"/>
          <w:sz w:val="24"/>
          <w:szCs w:val="24"/>
        </w:rPr>
        <w:t xml:space="preserve">*Requested Clarification – </w:t>
      </w:r>
      <w:r w:rsidRPr="00FC5C3E">
        <w:rPr>
          <w:rFonts w:cstheme="minorHAnsi"/>
          <w:b/>
          <w:bCs/>
          <w:sz w:val="24"/>
          <w:szCs w:val="24"/>
        </w:rPr>
        <w:t>3.4.1(a)(9)</w:t>
      </w:r>
      <w:r>
        <w:rPr>
          <w:rFonts w:cstheme="minorHAnsi"/>
          <w:b/>
          <w:bCs/>
          <w:sz w:val="24"/>
          <w:szCs w:val="24"/>
        </w:rPr>
        <w:t xml:space="preserve"> </w:t>
      </w:r>
      <w:r>
        <w:rPr>
          <w:rFonts w:cstheme="minorHAnsi"/>
          <w:bCs/>
          <w:sz w:val="24"/>
          <w:szCs w:val="24"/>
        </w:rPr>
        <w:t>Felt sides will be allowed however, wheels/rollers have to be removed completely and may not be covered by any material.  Mechanical devices are in regards to those touching the rifle directly.</w:t>
      </w:r>
      <w:bookmarkStart w:id="1" w:name="_GoBack"/>
      <w:bookmarkEnd w:id="1"/>
    </w:p>
    <w:p w:rsidR="006A1F39" w:rsidRPr="00FC5C3E" w:rsidRDefault="006A1F39" w:rsidP="00422BA8">
      <w:pPr>
        <w:rPr>
          <w:rFonts w:cstheme="minorHAnsi"/>
          <w:sz w:val="24"/>
          <w:szCs w:val="24"/>
        </w:rPr>
      </w:pPr>
    </w:p>
    <w:p w:rsidR="00D13710" w:rsidRPr="00FC5C3E" w:rsidRDefault="00D13710" w:rsidP="00B1517A">
      <w:pPr>
        <w:rPr>
          <w:rFonts w:cstheme="minorHAnsi"/>
          <w:sz w:val="24"/>
          <w:szCs w:val="24"/>
        </w:rPr>
      </w:pPr>
    </w:p>
    <w:sectPr w:rsidR="00D13710" w:rsidRPr="00FC5C3E" w:rsidSect="00701153">
      <w:pgSz w:w="12240" w:h="15840" w:code="1"/>
      <w:pgMar w:top="1440" w:right="1440" w:bottom="1440" w:left="1440"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553"/>
    <w:multiLevelType w:val="hybridMultilevel"/>
    <w:tmpl w:val="C974E402"/>
    <w:lvl w:ilvl="0" w:tplc="BE6E37DE">
      <w:start w:val="2022"/>
      <w:numFmt w:val="bullet"/>
      <w:lvlText w:val=""/>
      <w:lvlJc w:val="left"/>
      <w:pPr>
        <w:ind w:left="720" w:hanging="360"/>
      </w:pPr>
      <w:rPr>
        <w:rFonts w:ascii="Symbol" w:eastAsiaTheme="minorHAnsi" w:hAnsi="Symbol" w:cstheme="minorHAns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66D34"/>
    <w:multiLevelType w:val="hybridMultilevel"/>
    <w:tmpl w:val="883E4F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7A"/>
    <w:rsid w:val="000E5F8A"/>
    <w:rsid w:val="001A2450"/>
    <w:rsid w:val="00241198"/>
    <w:rsid w:val="00372507"/>
    <w:rsid w:val="003A4C88"/>
    <w:rsid w:val="003F0E58"/>
    <w:rsid w:val="00422BA8"/>
    <w:rsid w:val="00475945"/>
    <w:rsid w:val="0054331D"/>
    <w:rsid w:val="006222F9"/>
    <w:rsid w:val="006A1F39"/>
    <w:rsid w:val="00701153"/>
    <w:rsid w:val="0078612C"/>
    <w:rsid w:val="007A3CA3"/>
    <w:rsid w:val="007C070C"/>
    <w:rsid w:val="009348A1"/>
    <w:rsid w:val="00A34673"/>
    <w:rsid w:val="00B1517A"/>
    <w:rsid w:val="00B833D7"/>
    <w:rsid w:val="00BA2AE1"/>
    <w:rsid w:val="00CC41EF"/>
    <w:rsid w:val="00CF30A5"/>
    <w:rsid w:val="00D13710"/>
    <w:rsid w:val="00D540F1"/>
    <w:rsid w:val="00D92288"/>
    <w:rsid w:val="00DA2012"/>
    <w:rsid w:val="00E067CD"/>
    <w:rsid w:val="00E136D6"/>
    <w:rsid w:val="00F47948"/>
    <w:rsid w:val="00F952CE"/>
    <w:rsid w:val="00FC5C3E"/>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D293"/>
  <w15:chartTrackingRefBased/>
  <w15:docId w15:val="{B0F0DFD1-AB68-45D5-91FB-BF6B383A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7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Rifle Association</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Aaron</dc:creator>
  <cp:keywords/>
  <dc:description/>
  <cp:lastModifiedBy>Farmer, Aaron</cp:lastModifiedBy>
  <cp:revision>6</cp:revision>
  <dcterms:created xsi:type="dcterms:W3CDTF">2023-01-30T20:44:00Z</dcterms:created>
  <dcterms:modified xsi:type="dcterms:W3CDTF">2023-03-03T13:57:00Z</dcterms:modified>
</cp:coreProperties>
</file>